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FDA" w14:textId="127F740A" w:rsidR="00000F3D" w:rsidRDefault="00300808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300808">
        <w:rPr>
          <w:rFonts w:ascii="Arial" w:hAnsi="Arial" w:cs="Arial"/>
          <w:b/>
          <w:bCs/>
          <w:color w:val="3DCD58"/>
          <w:sz w:val="40"/>
          <w:szCs w:val="40"/>
        </w:rPr>
        <w:t>Nová studie: Kvůli klimatickým rizikům je ohrožena více než polovina finanční hodnoty evropských AI datových center</w:t>
      </w:r>
    </w:p>
    <w:p w14:paraId="368295E2" w14:textId="77777777" w:rsidR="00300808" w:rsidRDefault="00300808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2130247" w14:textId="61934DFF" w:rsidR="00AD55AA" w:rsidRDefault="003B0A9F" w:rsidP="0066691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CB3036">
        <w:rPr>
          <w:rFonts w:ascii="Arial" w:eastAsia="Arial" w:hAnsi="Arial" w:cs="Arial"/>
          <w:b/>
          <w:bCs/>
          <w:sz w:val="20"/>
          <w:szCs w:val="20"/>
        </w:rPr>
        <w:t>16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červ</w:t>
      </w:r>
      <w:r w:rsidR="00D47C70">
        <w:rPr>
          <w:rFonts w:ascii="Arial" w:eastAsia="Arial" w:hAnsi="Arial" w:cs="Arial"/>
          <w:b/>
          <w:bCs/>
          <w:sz w:val="20"/>
          <w:szCs w:val="20"/>
        </w:rPr>
        <w:t>e</w:t>
      </w:r>
      <w:r w:rsidR="00CC0DF5">
        <w:rPr>
          <w:rFonts w:ascii="Arial" w:eastAsia="Arial" w:hAnsi="Arial" w:cs="Arial"/>
          <w:b/>
          <w:bCs/>
          <w:sz w:val="20"/>
          <w:szCs w:val="20"/>
        </w:rPr>
        <w:t>n</w:t>
      </w:r>
      <w:r w:rsidR="00D47C70">
        <w:rPr>
          <w:rFonts w:ascii="Arial" w:eastAsia="Arial" w:hAnsi="Arial" w:cs="Arial"/>
          <w:b/>
          <w:bCs/>
          <w:sz w:val="20"/>
          <w:szCs w:val="20"/>
        </w:rPr>
        <w:t>ce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6691D" w:rsidRPr="003B0A9F">
        <w:rPr>
          <w:rFonts w:ascii="Arial" w:eastAsia="Arial" w:hAnsi="Arial" w:cs="Arial"/>
          <w:b/>
          <w:bCs/>
          <w:sz w:val="20"/>
          <w:szCs w:val="20"/>
        </w:rPr>
        <w:t>202</w:t>
      </w:r>
      <w:r w:rsidR="0066691D">
        <w:rPr>
          <w:rFonts w:ascii="Arial" w:eastAsia="Arial" w:hAnsi="Arial" w:cs="Arial"/>
          <w:b/>
          <w:bCs/>
          <w:sz w:val="20"/>
          <w:szCs w:val="20"/>
        </w:rPr>
        <w:t xml:space="preserve">6 </w:t>
      </w:r>
      <w:r w:rsidR="0066691D" w:rsidRPr="003B0A9F">
        <w:rPr>
          <w:rFonts w:ascii="Arial" w:eastAsia="Arial" w:hAnsi="Arial" w:cs="Arial"/>
          <w:b/>
          <w:bCs/>
          <w:sz w:val="20"/>
          <w:szCs w:val="20"/>
        </w:rPr>
        <w:t>–</w:t>
      </w:r>
      <w:r w:rsidR="0066691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D55AA" w:rsidRPr="00AD55AA">
        <w:rPr>
          <w:rFonts w:ascii="Arial" w:eastAsia="Arial" w:hAnsi="Arial" w:cs="Arial"/>
          <w:b/>
          <w:bCs/>
          <w:sz w:val="20"/>
          <w:szCs w:val="20"/>
        </w:rPr>
        <w:t xml:space="preserve">Masivní rozvoj umělé inteligence v posledních letech vyvolal celosvětový boom ve výstavbě nových datových center. Podle nejnovějších zjištění společnosti Schneider Electric, globálního lídra v oblasti energetických technologií, se však při tomto rychlém tempu výstavby zapomíná na zásadní faktor. </w:t>
      </w:r>
      <w:r w:rsidR="00AD55AA">
        <w:rPr>
          <w:rFonts w:ascii="Arial" w:eastAsia="Arial" w:hAnsi="Arial" w:cs="Arial"/>
          <w:b/>
          <w:bCs/>
          <w:sz w:val="20"/>
          <w:szCs w:val="20"/>
        </w:rPr>
        <w:t>P</w:t>
      </w:r>
      <w:r w:rsidR="00AD55AA" w:rsidRPr="00AD55AA">
        <w:rPr>
          <w:rFonts w:ascii="Arial" w:eastAsia="Arial" w:hAnsi="Arial" w:cs="Arial"/>
          <w:b/>
          <w:bCs/>
          <w:sz w:val="20"/>
          <w:szCs w:val="20"/>
        </w:rPr>
        <w:t xml:space="preserve">ostupující globální oteplování totiž naráží na limity chlazení těchto center, která se kvůli extrémnímu teplu produkovanému samotnými AI čipy </w:t>
      </w:r>
      <w:r w:rsidR="00873337">
        <w:rPr>
          <w:rFonts w:ascii="Arial" w:eastAsia="Arial" w:hAnsi="Arial" w:cs="Arial"/>
          <w:b/>
          <w:bCs/>
          <w:sz w:val="20"/>
          <w:szCs w:val="20"/>
        </w:rPr>
        <w:t xml:space="preserve">snadněji </w:t>
      </w:r>
      <w:r w:rsidR="00AD55AA" w:rsidRPr="00AD55AA">
        <w:rPr>
          <w:rFonts w:ascii="Arial" w:eastAsia="Arial" w:hAnsi="Arial" w:cs="Arial"/>
          <w:b/>
          <w:bCs/>
          <w:sz w:val="20"/>
          <w:szCs w:val="20"/>
        </w:rPr>
        <w:t xml:space="preserve">přehřívají. </w:t>
      </w:r>
      <w:r w:rsidR="00AD55AA">
        <w:rPr>
          <w:rFonts w:ascii="Arial" w:eastAsia="Arial" w:hAnsi="Arial" w:cs="Arial"/>
          <w:b/>
          <w:bCs/>
          <w:sz w:val="20"/>
          <w:szCs w:val="20"/>
        </w:rPr>
        <w:t>R</w:t>
      </w:r>
      <w:r w:rsidR="00AD55AA" w:rsidRPr="00AD55AA">
        <w:rPr>
          <w:rFonts w:ascii="Arial" w:eastAsia="Arial" w:hAnsi="Arial" w:cs="Arial"/>
          <w:b/>
          <w:bCs/>
          <w:sz w:val="20"/>
          <w:szCs w:val="20"/>
        </w:rPr>
        <w:t>izika</w:t>
      </w:r>
      <w:r w:rsidR="00AD55AA">
        <w:rPr>
          <w:rFonts w:ascii="Arial" w:eastAsia="Arial" w:hAnsi="Arial" w:cs="Arial"/>
          <w:b/>
          <w:bCs/>
          <w:sz w:val="20"/>
          <w:szCs w:val="20"/>
        </w:rPr>
        <w:t xml:space="preserve"> spojená s klimatem</w:t>
      </w:r>
      <w:r w:rsidR="00AD55AA" w:rsidRPr="00AD55AA">
        <w:rPr>
          <w:rFonts w:ascii="Arial" w:eastAsia="Arial" w:hAnsi="Arial" w:cs="Arial"/>
          <w:b/>
          <w:bCs/>
          <w:sz w:val="20"/>
          <w:szCs w:val="20"/>
        </w:rPr>
        <w:t xml:space="preserve"> přitom nejsou dosud plně zahrnuta do reálné ceny těchto projektů. Výzkum ukazuje, že investice do odolnosti AI infrastruktury mohou snížit finanční ztráty způsobené klimatickými změnami o celou třetinu. </w:t>
      </w:r>
    </w:p>
    <w:p w14:paraId="22E4DE97" w14:textId="77777777" w:rsidR="00AD55AA" w:rsidRDefault="00AD55AA" w:rsidP="0066691D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BF8F410" w14:textId="000E010A" w:rsidR="00024A2E" w:rsidRPr="00AD55AA" w:rsidRDefault="00AD55AA" w:rsidP="0066691D">
      <w:pPr>
        <w:jc w:val="both"/>
        <w:rPr>
          <w:rFonts w:ascii="Arial" w:eastAsia="Arial" w:hAnsi="Arial" w:cs="Arial"/>
          <w:sz w:val="20"/>
          <w:szCs w:val="20"/>
        </w:rPr>
      </w:pPr>
      <w:r w:rsidRPr="00AD55AA">
        <w:rPr>
          <w:rFonts w:ascii="Arial" w:eastAsia="Arial" w:hAnsi="Arial" w:cs="Arial"/>
          <w:sz w:val="20"/>
          <w:szCs w:val="20"/>
        </w:rPr>
        <w:t xml:space="preserve">V globálním měřítku představuje nepojištěné klimatické riziko u datových center hrozbu pro budovy a technologie v hodnotě 388 miliard dolarů. To odpovídá více než třetině (38 %) celkových investic do </w:t>
      </w:r>
      <w:r>
        <w:rPr>
          <w:rFonts w:ascii="Arial" w:eastAsia="Arial" w:hAnsi="Arial" w:cs="Arial"/>
          <w:sz w:val="20"/>
          <w:szCs w:val="20"/>
        </w:rPr>
        <w:t>datových</w:t>
      </w:r>
      <w:r w:rsidRPr="00AD55AA">
        <w:rPr>
          <w:rFonts w:ascii="Arial" w:eastAsia="Arial" w:hAnsi="Arial" w:cs="Arial"/>
          <w:sz w:val="20"/>
          <w:szCs w:val="20"/>
        </w:rPr>
        <w:t xml:space="preserve"> center, přičemž v samotné Evropě je v ohrožení dokonce nadpoloviční většina finanční hodnoty těchto projektů.</w:t>
      </w:r>
    </w:p>
    <w:p w14:paraId="5EEE8BEB" w14:textId="77777777" w:rsidR="00AD55AA" w:rsidRPr="0066691D" w:rsidRDefault="00AD55AA" w:rsidP="0066691D">
      <w:pPr>
        <w:jc w:val="both"/>
        <w:rPr>
          <w:rFonts w:ascii="Arial" w:eastAsia="Arial" w:hAnsi="Arial" w:cs="Arial"/>
          <w:sz w:val="20"/>
          <w:szCs w:val="20"/>
        </w:rPr>
      </w:pPr>
    </w:p>
    <w:p w14:paraId="13DDFF41" w14:textId="56445150" w:rsidR="00024A2E" w:rsidRDefault="00540F08" w:rsidP="00024A2E">
      <w:pPr>
        <w:jc w:val="both"/>
        <w:rPr>
          <w:rFonts w:ascii="Arial" w:hAnsi="Arial" w:cs="Arial"/>
          <w:sz w:val="20"/>
          <w:szCs w:val="20"/>
        </w:rPr>
      </w:pPr>
      <w:r w:rsidRPr="00540F08">
        <w:rPr>
          <w:rFonts w:ascii="Arial" w:hAnsi="Arial" w:cs="Arial"/>
          <w:sz w:val="20"/>
          <w:szCs w:val="20"/>
        </w:rPr>
        <w:t xml:space="preserve">Studie, kterou vypracoval </w:t>
      </w:r>
      <w:hyperlink r:id="rId11" w:history="1">
        <w:r w:rsidRPr="00E9142B">
          <w:rPr>
            <w:rStyle w:val="Hypertextovodkaz"/>
            <w:rFonts w:ascii="Arial" w:hAnsi="Arial" w:cs="Arial"/>
            <w:sz w:val="20"/>
            <w:szCs w:val="20"/>
          </w:rPr>
          <w:t>Schneider Electric Research Institute</w:t>
        </w:r>
      </w:hyperlink>
      <w:r w:rsidRPr="00540F08">
        <w:rPr>
          <w:rFonts w:ascii="Arial" w:hAnsi="Arial" w:cs="Arial"/>
          <w:sz w:val="20"/>
          <w:szCs w:val="20"/>
        </w:rPr>
        <w:t xml:space="preserve"> a </w:t>
      </w:r>
      <w:hyperlink r:id="rId12" w:history="1">
        <w:r w:rsidRPr="00E9142B">
          <w:rPr>
            <w:rStyle w:val="Hypertextovodkaz"/>
            <w:rFonts w:ascii="Arial" w:hAnsi="Arial" w:cs="Arial"/>
            <w:sz w:val="20"/>
            <w:szCs w:val="20"/>
          </w:rPr>
          <w:t>SE Advisory Services</w:t>
        </w:r>
      </w:hyperlink>
      <w:r w:rsidRPr="00540F08">
        <w:rPr>
          <w:rFonts w:ascii="Arial" w:hAnsi="Arial" w:cs="Arial"/>
          <w:sz w:val="20"/>
          <w:szCs w:val="20"/>
        </w:rPr>
        <w:t>, varuje, že nová infrastruktura pro potřeby umělé inteligence čelí až dvaapůlkrát vyššímu riziku poškození a kolapsu než stávající datová centra. Hlavním důvodem je extrémní produkce tepla moderními AI čipy – během letních vln veder tak hrozí, že chladicí systémy přestanou stíhat, což vede k nucenému vypínání serverů. Pokud se do modelů započítá plánovaný růst AI, celkové vystavení těmto klimatickým hrozbám by mohlo celosvětově vzrůst ze současných 388 miliard až na 3,7 bilionu dolarů.</w:t>
      </w:r>
    </w:p>
    <w:p w14:paraId="7D56E750" w14:textId="77777777" w:rsidR="00540F08" w:rsidRPr="00024A2E" w:rsidRDefault="00540F08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3D97B900" w14:textId="77777777" w:rsidR="00024A2E" w:rsidRDefault="00024A2E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024A2E">
        <w:rPr>
          <w:rFonts w:ascii="Arial" w:hAnsi="Arial" w:cs="Arial"/>
          <w:b/>
          <w:bCs/>
          <w:color w:val="3DCD58"/>
          <w:sz w:val="20"/>
          <w:szCs w:val="20"/>
        </w:rPr>
        <w:t>Evropa čelí dvojnásobnému riziku oproti USA</w:t>
      </w:r>
    </w:p>
    <w:p w14:paraId="07A17B9E" w14:textId="77777777" w:rsidR="00024A2E" w:rsidRPr="00024A2E" w:rsidRDefault="00024A2E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4B57EFF1" w14:textId="4777CB50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  <w:r w:rsidRPr="00C17EFC">
        <w:rPr>
          <w:rFonts w:ascii="Arial" w:hAnsi="Arial" w:cs="Arial"/>
          <w:sz w:val="20"/>
          <w:szCs w:val="20"/>
        </w:rPr>
        <w:t xml:space="preserve">Míra ohrožení se výrazně liší podle regionů, což odráží místní klimatické podmínky, </w:t>
      </w:r>
      <w:r w:rsidR="00D56D78">
        <w:rPr>
          <w:rFonts w:ascii="Arial" w:hAnsi="Arial" w:cs="Arial"/>
          <w:sz w:val="20"/>
          <w:szCs w:val="20"/>
        </w:rPr>
        <w:t>tropické teploty</w:t>
      </w:r>
      <w:r w:rsidRPr="00C17EFC">
        <w:rPr>
          <w:rFonts w:ascii="Arial" w:hAnsi="Arial" w:cs="Arial"/>
          <w:sz w:val="20"/>
          <w:szCs w:val="20"/>
        </w:rPr>
        <w:t>, charakteristiku přenosových soustav i zranitelnost dodavatelských řetězců. Z analýzy vyplývá zásadní varování pro náš region: Evropa (53 %) a Čína (56 %) jsou rizikům finančních ztrát a poškození AI infrastruktury vystaveny téměř dvakrát více než USA (28 %) nebo region APMEA (28 %).</w:t>
      </w:r>
    </w:p>
    <w:p w14:paraId="079CC380" w14:textId="77777777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</w:p>
    <w:p w14:paraId="4A96EAA6" w14:textId="2B5B513E" w:rsidR="00C17EFC" w:rsidRDefault="00C17EFC" w:rsidP="00C17E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17EFC">
        <w:rPr>
          <w:rFonts w:ascii="Arial" w:hAnsi="Arial" w:cs="Arial"/>
          <w:i/>
          <w:iCs/>
          <w:sz w:val="20"/>
          <w:szCs w:val="20"/>
        </w:rPr>
        <w:t xml:space="preserve">„V Evropě tato hrozba znamená reálné znehodnocení samotných budov a technologií. Extrémní letní </w:t>
      </w:r>
      <w:r w:rsidR="00D56D78">
        <w:rPr>
          <w:rFonts w:ascii="Arial" w:hAnsi="Arial" w:cs="Arial"/>
          <w:i/>
          <w:iCs/>
          <w:sz w:val="20"/>
          <w:szCs w:val="20"/>
        </w:rPr>
        <w:t>teploty</w:t>
      </w:r>
      <w:r w:rsidRPr="00C17EFC">
        <w:rPr>
          <w:rFonts w:ascii="Arial" w:hAnsi="Arial" w:cs="Arial"/>
          <w:i/>
          <w:iCs/>
          <w:sz w:val="20"/>
          <w:szCs w:val="20"/>
        </w:rPr>
        <w:t xml:space="preserve"> dramaticky zvyšují náklady na chlazení superpočítačů a přetěžují energetickou síť, což vede k drahým výpadkům provozu. Nová generace AI serverů vyžaduje nepřetržitý a enormní chladicí výkon, na který starší infrastruktura zkrátka nebyla dimenzována,“</w:t>
      </w:r>
      <w:r w:rsidRPr="00C17EFC">
        <w:rPr>
          <w:rFonts w:ascii="Arial" w:hAnsi="Arial" w:cs="Arial"/>
          <w:sz w:val="20"/>
          <w:szCs w:val="20"/>
        </w:rPr>
        <w:t xml:space="preserve"> vysvětluje </w:t>
      </w:r>
      <w:r w:rsidR="00AD55AA" w:rsidRPr="00AD55AA">
        <w:rPr>
          <w:rFonts w:ascii="Arial" w:hAnsi="Arial" w:cs="Arial"/>
          <w:b/>
          <w:bCs/>
          <w:sz w:val="20"/>
          <w:szCs w:val="20"/>
        </w:rPr>
        <w:t>Frédéric Godemel, výkonný viceprezident divize Power Systems and Services společnosti Schneider Electric</w:t>
      </w:r>
    </w:p>
    <w:p w14:paraId="51BC1D82" w14:textId="77777777" w:rsidR="00AD55AA" w:rsidRPr="00024A2E" w:rsidRDefault="00AD55AA" w:rsidP="00C17EFC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7A46520A" w14:textId="77777777" w:rsidR="00C17EFC" w:rsidRDefault="00C17EFC" w:rsidP="00C17EFC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C17EFC">
        <w:rPr>
          <w:rFonts w:ascii="Arial" w:hAnsi="Arial" w:cs="Arial"/>
          <w:b/>
          <w:bCs/>
          <w:color w:val="3DCD58"/>
          <w:sz w:val="20"/>
          <w:szCs w:val="20"/>
        </w:rPr>
        <w:t>Klíčové hrozby: Od chlazení po nedostupné pojištění</w:t>
      </w:r>
    </w:p>
    <w:p w14:paraId="7BD17C96" w14:textId="77777777" w:rsidR="00C17EFC" w:rsidRPr="00C17EFC" w:rsidRDefault="00C17EFC" w:rsidP="00C17EFC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76C650F3" w14:textId="448E9E1F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  <w:r w:rsidRPr="00C17EFC">
        <w:rPr>
          <w:rFonts w:ascii="Arial" w:hAnsi="Arial" w:cs="Arial"/>
          <w:sz w:val="20"/>
          <w:szCs w:val="20"/>
        </w:rPr>
        <w:t xml:space="preserve">Klimatické změny bezprostředně ohrožují provoz a ekonomiku datových center v několika hlavních oblastech. Vedle extrémních </w:t>
      </w:r>
      <w:r w:rsidR="00D56D78">
        <w:rPr>
          <w:rFonts w:ascii="Arial" w:hAnsi="Arial" w:cs="Arial"/>
          <w:sz w:val="20"/>
          <w:szCs w:val="20"/>
        </w:rPr>
        <w:t>teplot</w:t>
      </w:r>
      <w:r w:rsidRPr="00C17EFC">
        <w:rPr>
          <w:rFonts w:ascii="Arial" w:hAnsi="Arial" w:cs="Arial"/>
          <w:sz w:val="20"/>
          <w:szCs w:val="20"/>
        </w:rPr>
        <w:t>, která drasticky zvyšují provozní náklady na chlazení, je kritickým faktorem také nedostatek vody. Mnoho moderních center totiž spoléhá na odpařovací systémy, přičemž sucho a omezení dodávek vody mohou funkčnost celého datacentra okamžitě paralyzovat.</w:t>
      </w:r>
    </w:p>
    <w:p w14:paraId="52AE8976" w14:textId="77777777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</w:p>
    <w:p w14:paraId="311C7C47" w14:textId="77777777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  <w:r w:rsidRPr="00C17EFC">
        <w:rPr>
          <w:rFonts w:ascii="Arial" w:hAnsi="Arial" w:cs="Arial"/>
          <w:sz w:val="20"/>
          <w:szCs w:val="20"/>
        </w:rPr>
        <w:t>Další bezprostřední riziko představuje zranitelnost napájecí sítě, kdy bouře, lesní požáry či přetížení infrastruktury v horkých dnech zvyšují riziko plošných výpadků elektřiny. Tyto vlivy doplňuje hrozba přímého fyzického poškození budov povodněmi či silným větrem. Všechny tyto faktory se v důsledku promítají do financování projektů, protože pojišťovny kvůli rostoucí frekvenci živelních pohrom omezují krytí škod nebo pojištění pro rizikové lokality extrémně zdražují.</w:t>
      </w:r>
    </w:p>
    <w:p w14:paraId="1C44ADD5" w14:textId="77777777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</w:p>
    <w:p w14:paraId="2CD88F54" w14:textId="12AC1B69" w:rsidR="00C17EFC" w:rsidRPr="00C17EFC" w:rsidRDefault="00C17EFC" w:rsidP="00C17EFC">
      <w:pPr>
        <w:jc w:val="both"/>
        <w:rPr>
          <w:rFonts w:ascii="Arial" w:hAnsi="Arial" w:cs="Arial"/>
          <w:sz w:val="20"/>
          <w:szCs w:val="20"/>
        </w:rPr>
      </w:pPr>
      <w:r w:rsidRPr="00C17EFC">
        <w:rPr>
          <w:rFonts w:ascii="Arial" w:hAnsi="Arial" w:cs="Arial"/>
          <w:i/>
          <w:iCs/>
          <w:sz w:val="20"/>
          <w:szCs w:val="20"/>
        </w:rPr>
        <w:t>„Provozovatelé na jedné straně čelí reálnému riziku fyzického poškození technologií, na druhé straně narážejí na neochotu pojišťoven tato rizika plně krýt. Pokud chceme zajistit stabilitu digitálních služeb a AI, musíme odolnost budov a technologií začít řešit jako prioritu hned v první fázi projektování, nikoli jako dodatečné řešení,“</w:t>
      </w:r>
      <w:r w:rsidRPr="00C17EFC">
        <w:rPr>
          <w:rFonts w:ascii="Arial" w:hAnsi="Arial" w:cs="Arial"/>
          <w:sz w:val="20"/>
          <w:szCs w:val="20"/>
        </w:rPr>
        <w:t xml:space="preserve"> doplňuje </w:t>
      </w:r>
      <w:r w:rsidR="00E9142B" w:rsidRPr="00AD55AA">
        <w:rPr>
          <w:rFonts w:ascii="Arial" w:hAnsi="Arial" w:cs="Arial"/>
          <w:b/>
          <w:bCs/>
          <w:sz w:val="20"/>
          <w:szCs w:val="20"/>
        </w:rPr>
        <w:t xml:space="preserve">Frédéric </w:t>
      </w:r>
      <w:r w:rsidR="00AD55AA">
        <w:rPr>
          <w:rFonts w:ascii="Arial" w:hAnsi="Arial" w:cs="Arial"/>
          <w:b/>
          <w:bCs/>
          <w:sz w:val="20"/>
          <w:szCs w:val="20"/>
        </w:rPr>
        <w:t>Godemel</w:t>
      </w:r>
      <w:r w:rsidRPr="00C17EFC">
        <w:rPr>
          <w:rFonts w:ascii="Arial" w:hAnsi="Arial" w:cs="Arial"/>
          <w:sz w:val="20"/>
          <w:szCs w:val="20"/>
        </w:rPr>
        <w:t>.</w:t>
      </w:r>
    </w:p>
    <w:p w14:paraId="40FD798C" w14:textId="77777777" w:rsidR="00024A2E" w:rsidRDefault="00024A2E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13B47B62" w14:textId="5B35FB7B" w:rsidR="00024A2E" w:rsidRDefault="00024A2E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024A2E">
        <w:rPr>
          <w:rFonts w:ascii="Arial" w:hAnsi="Arial" w:cs="Arial"/>
          <w:b/>
          <w:bCs/>
          <w:color w:val="3DCD58"/>
          <w:sz w:val="20"/>
          <w:szCs w:val="20"/>
        </w:rPr>
        <w:lastRenderedPageBreak/>
        <w:t>Cesta k adaptaci a odolnosti</w:t>
      </w:r>
    </w:p>
    <w:p w14:paraId="54D3C4E9" w14:textId="77777777" w:rsidR="00024A2E" w:rsidRPr="00024A2E" w:rsidRDefault="00024A2E" w:rsidP="00024A2E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</w:p>
    <w:p w14:paraId="0DEE2BB5" w14:textId="77777777" w:rsidR="00024A2E" w:rsidRPr="00024A2E" w:rsidRDefault="00024A2E" w:rsidP="00024A2E">
      <w:pPr>
        <w:jc w:val="both"/>
        <w:rPr>
          <w:rFonts w:ascii="Arial" w:hAnsi="Arial" w:cs="Arial"/>
          <w:sz w:val="20"/>
          <w:szCs w:val="20"/>
        </w:rPr>
      </w:pPr>
      <w:r w:rsidRPr="00024A2E">
        <w:rPr>
          <w:rFonts w:ascii="Arial" w:hAnsi="Arial" w:cs="Arial"/>
          <w:sz w:val="20"/>
          <w:szCs w:val="20"/>
        </w:rPr>
        <w:t>Schneider Electric v závěru studie zdůrazňuje, že řešením není zastavení investic, ale změna přístupu k plánování. Provozovatelé musí klimatická rizika integrovat přímo do finančních modelů a lokalizačních strategií. Mezi doporučená opatření patří přechod na pokročilé technologie uzavřeného chlazení bez spotřeby vody, budování vlastních mikro-sítí (microgrids) s obnovitelnými zdroji a bateriovými úložišti pro zajištění nezávislosti na přenosové soustavě a důsledná diverzifikace geografického umístění kritických výpočetních kapacit.</w:t>
      </w: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51EA" w14:textId="77777777" w:rsidR="007B5EE8" w:rsidRPr="00EA4814" w:rsidRDefault="007B5EE8">
      <w:r w:rsidRPr="00EA4814">
        <w:separator/>
      </w:r>
    </w:p>
  </w:endnote>
  <w:endnote w:type="continuationSeparator" w:id="0">
    <w:p w14:paraId="1F0B8277" w14:textId="77777777" w:rsidR="007B5EE8" w:rsidRPr="00EA4814" w:rsidRDefault="007B5EE8">
      <w:r w:rsidRPr="00EA4814">
        <w:continuationSeparator/>
      </w:r>
    </w:p>
  </w:endnote>
  <w:endnote w:type="continuationNotice" w:id="1">
    <w:p w14:paraId="5BCB5BE8" w14:textId="77777777" w:rsidR="007B5EE8" w:rsidRPr="00EA4814" w:rsidRDefault="007B5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9B7AE9B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D274" w14:textId="77777777" w:rsidR="007B5EE8" w:rsidRPr="00EA4814" w:rsidRDefault="007B5EE8">
      <w:r w:rsidRPr="00EA4814">
        <w:separator/>
      </w:r>
    </w:p>
  </w:footnote>
  <w:footnote w:type="continuationSeparator" w:id="0">
    <w:p w14:paraId="5F33A918" w14:textId="77777777" w:rsidR="007B5EE8" w:rsidRPr="00EA4814" w:rsidRDefault="007B5EE8">
      <w:r w:rsidRPr="00EA4814">
        <w:continuationSeparator/>
      </w:r>
    </w:p>
  </w:footnote>
  <w:footnote w:type="continuationNotice" w:id="1">
    <w:p w14:paraId="5BD51530" w14:textId="77777777" w:rsidR="007B5EE8" w:rsidRPr="00EA4814" w:rsidRDefault="007B5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0F3D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4A2E"/>
    <w:rsid w:val="000252E5"/>
    <w:rsid w:val="00025CE0"/>
    <w:rsid w:val="00025F7A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160A"/>
    <w:rsid w:val="000A21EF"/>
    <w:rsid w:val="000A2870"/>
    <w:rsid w:val="000A2A7A"/>
    <w:rsid w:val="000A60E6"/>
    <w:rsid w:val="000A65B4"/>
    <w:rsid w:val="000A6C48"/>
    <w:rsid w:val="000A7F5A"/>
    <w:rsid w:val="000B1504"/>
    <w:rsid w:val="000B2F8E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3CE3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2202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4E9E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1936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585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47C2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0D74"/>
    <w:rsid w:val="00251A77"/>
    <w:rsid w:val="00252220"/>
    <w:rsid w:val="0025352E"/>
    <w:rsid w:val="002562C5"/>
    <w:rsid w:val="00257F23"/>
    <w:rsid w:val="002602AB"/>
    <w:rsid w:val="002605EA"/>
    <w:rsid w:val="00260B5F"/>
    <w:rsid w:val="00260BD4"/>
    <w:rsid w:val="00263DA6"/>
    <w:rsid w:val="00264287"/>
    <w:rsid w:val="002649E0"/>
    <w:rsid w:val="00265FA4"/>
    <w:rsid w:val="00267002"/>
    <w:rsid w:val="00270272"/>
    <w:rsid w:val="00270483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46D"/>
    <w:rsid w:val="002928AF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3F35"/>
    <w:rsid w:val="002F6FEC"/>
    <w:rsid w:val="002F7A3A"/>
    <w:rsid w:val="00300808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157"/>
    <w:rsid w:val="003314C2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FDC"/>
    <w:rsid w:val="00375232"/>
    <w:rsid w:val="00375BF1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966AF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B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579A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4F3E75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3764B"/>
    <w:rsid w:val="00540F08"/>
    <w:rsid w:val="0054105B"/>
    <w:rsid w:val="00541C1F"/>
    <w:rsid w:val="00541CAA"/>
    <w:rsid w:val="00542562"/>
    <w:rsid w:val="0054407D"/>
    <w:rsid w:val="00544B1F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7693D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5E2C"/>
    <w:rsid w:val="005B7659"/>
    <w:rsid w:val="005C136D"/>
    <w:rsid w:val="005C2984"/>
    <w:rsid w:val="005C3C69"/>
    <w:rsid w:val="005C4C1F"/>
    <w:rsid w:val="005C5AF5"/>
    <w:rsid w:val="005C6636"/>
    <w:rsid w:val="005D186A"/>
    <w:rsid w:val="005E1D6D"/>
    <w:rsid w:val="005E48C2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6691D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470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B5EE8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20C1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822"/>
    <w:rsid w:val="00852E9A"/>
    <w:rsid w:val="00857189"/>
    <w:rsid w:val="008623D8"/>
    <w:rsid w:val="0086489D"/>
    <w:rsid w:val="00867F8E"/>
    <w:rsid w:val="00871B85"/>
    <w:rsid w:val="00871DC7"/>
    <w:rsid w:val="00871FDE"/>
    <w:rsid w:val="00872672"/>
    <w:rsid w:val="00873337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C75B9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8F38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0B3E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291C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529C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6CFD"/>
    <w:rsid w:val="00A871AA"/>
    <w:rsid w:val="00A92056"/>
    <w:rsid w:val="00A93344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A761A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516"/>
    <w:rsid w:val="00AD464E"/>
    <w:rsid w:val="00AD55AA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0CC0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2E7B"/>
    <w:rsid w:val="00B26A60"/>
    <w:rsid w:val="00B2736E"/>
    <w:rsid w:val="00B31541"/>
    <w:rsid w:val="00B3236E"/>
    <w:rsid w:val="00B35F1A"/>
    <w:rsid w:val="00B36277"/>
    <w:rsid w:val="00B36E5A"/>
    <w:rsid w:val="00B40B79"/>
    <w:rsid w:val="00B41231"/>
    <w:rsid w:val="00B42D5F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B5D9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08AC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17EFC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22E"/>
    <w:rsid w:val="00C53537"/>
    <w:rsid w:val="00C54F9A"/>
    <w:rsid w:val="00C568B5"/>
    <w:rsid w:val="00C609FB"/>
    <w:rsid w:val="00C63F94"/>
    <w:rsid w:val="00C6541A"/>
    <w:rsid w:val="00C65A12"/>
    <w:rsid w:val="00C73887"/>
    <w:rsid w:val="00C765F9"/>
    <w:rsid w:val="00C76D14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3036"/>
    <w:rsid w:val="00CB651D"/>
    <w:rsid w:val="00CB6D3C"/>
    <w:rsid w:val="00CC0B94"/>
    <w:rsid w:val="00CC0DF5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47C70"/>
    <w:rsid w:val="00D51586"/>
    <w:rsid w:val="00D52013"/>
    <w:rsid w:val="00D53D2B"/>
    <w:rsid w:val="00D5417A"/>
    <w:rsid w:val="00D54B19"/>
    <w:rsid w:val="00D56634"/>
    <w:rsid w:val="00D56D78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060D0"/>
    <w:rsid w:val="00E10D6E"/>
    <w:rsid w:val="00E11C58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1ACA"/>
    <w:rsid w:val="00E72E3A"/>
    <w:rsid w:val="00E73281"/>
    <w:rsid w:val="00E7565C"/>
    <w:rsid w:val="00E75EF6"/>
    <w:rsid w:val="00E7618D"/>
    <w:rsid w:val="00E763FC"/>
    <w:rsid w:val="00E801D4"/>
    <w:rsid w:val="00E8072A"/>
    <w:rsid w:val="00E81133"/>
    <w:rsid w:val="00E8172A"/>
    <w:rsid w:val="00E84726"/>
    <w:rsid w:val="00E8586C"/>
    <w:rsid w:val="00E863B2"/>
    <w:rsid w:val="00E900FE"/>
    <w:rsid w:val="00E91343"/>
    <w:rsid w:val="00E9142B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53AB"/>
    <w:rsid w:val="00EC6E77"/>
    <w:rsid w:val="00ED1E1A"/>
    <w:rsid w:val="00ED3A64"/>
    <w:rsid w:val="00ED528F"/>
    <w:rsid w:val="00EE230B"/>
    <w:rsid w:val="00EE27B3"/>
    <w:rsid w:val="00EE5944"/>
    <w:rsid w:val="00EE66B5"/>
    <w:rsid w:val="00EE6EC3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1492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e.com/ww/en/work/services/se-advisory-services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ww/en/insights/sustainability/sustainability-research-institute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8</TotalTime>
  <Pages>2</Pages>
  <Words>824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 | CrestCommunications a.s.</cp:lastModifiedBy>
  <cp:revision>3</cp:revision>
  <dcterms:created xsi:type="dcterms:W3CDTF">2026-07-14T11:33:00Z</dcterms:created>
  <dcterms:modified xsi:type="dcterms:W3CDTF">2026-07-16T08:23:00Z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